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8.00000000000006" w:lineRule="auto"/>
        <w:ind w:left="-566.9291338582675" w:right="-136.062992125984" w:firstLine="0"/>
        <w:jc w:val="center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Бланк ЦРК або ЗВО</w:t>
      </w:r>
    </w:p>
    <w:p w:rsidR="00000000" w:rsidDel="00000000" w:rsidP="00000000" w:rsidRDefault="00000000" w:rsidRPr="00000000" w14:paraId="00000002">
      <w:pPr>
        <w:tabs>
          <w:tab w:val="center" w:leader="none" w:pos="4677"/>
          <w:tab w:val="right" w:leader="none" w:pos="9355"/>
        </w:tabs>
        <w:ind w:left="-283.46456692913375" w:hanging="283.46456692913375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p w:rsidR="00000000" w:rsidDel="00000000" w:rsidP="00000000" w:rsidRDefault="00000000" w:rsidRPr="00000000" w14:paraId="00000003">
      <w:pPr>
        <w:tabs>
          <w:tab w:val="left" w:leader="none" w:pos="3420"/>
          <w:tab w:val="left" w:leader="none" w:pos="3852"/>
        </w:tabs>
        <w:ind w:left="-283.46456692913375" w:right="252" w:hanging="283.46456692913375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420"/>
        </w:tabs>
        <w:ind w:left="-566.9291338582675" w:right="-113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Шановний(а) керівник(ця)!</w:t>
      </w:r>
    </w:p>
    <w:p w:rsidR="00000000" w:rsidDel="00000000" w:rsidP="00000000" w:rsidRDefault="00000000" w:rsidRPr="00000000" w14:paraId="00000005">
      <w:pPr>
        <w:tabs>
          <w:tab w:val="left" w:leader="none" w:pos="3420"/>
        </w:tabs>
        <w:ind w:left="-283.46456692913375" w:right="-113" w:hanging="283.46456692913375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3420"/>
        </w:tabs>
        <w:ind w:left="-570" w:right="-113" w:firstLine="570"/>
        <w:jc w:val="both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Центр розвитку кар’єри вітає Вас і запрошує до співпраці у справі сприяння працевлаштуванню талановитої молоді, а також добору високопрофесійних фахівців для Вашого підприємства.</w:t>
      </w:r>
    </w:p>
    <w:p w:rsidR="00000000" w:rsidDel="00000000" w:rsidP="00000000" w:rsidRDefault="00000000" w:rsidRPr="00000000" w14:paraId="00000007">
      <w:pPr>
        <w:tabs>
          <w:tab w:val="left" w:leader="none" w:pos="3420"/>
        </w:tabs>
        <w:ind w:left="-570" w:right="-113" w:firstLine="570"/>
        <w:jc w:val="center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420"/>
        </w:tabs>
        <w:ind w:left="-570" w:right="-113" w:firstLine="570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– флагман ______________ освіти в Україні –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готує висококваліфікованих фахівців у сфері ______________________________________________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 – всього за ________ напрямами підготовки.</w:t>
      </w:r>
    </w:p>
    <w:p w:rsidR="00000000" w:rsidDel="00000000" w:rsidP="00000000" w:rsidRDefault="00000000" w:rsidRPr="00000000" w14:paraId="00000009">
      <w:pPr>
        <w:ind w:left="-570" w:right="-296" w:firstLine="570"/>
        <w:jc w:val="righ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570" w:right="-296" w:firstLine="570"/>
        <w:jc w:val="both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Серед наших випускників відомі підприємці, банкіри, керівники державних установ та міністерств, дипломати та вчені.</w:t>
      </w:r>
    </w:p>
    <w:p w:rsidR="00000000" w:rsidDel="00000000" w:rsidP="00000000" w:rsidRDefault="00000000" w:rsidRPr="00000000" w14:paraId="0000000B">
      <w:pPr>
        <w:tabs>
          <w:tab w:val="left" w:leader="none" w:pos="3420"/>
        </w:tabs>
        <w:ind w:left="-570" w:right="-113" w:firstLine="570"/>
        <w:jc w:val="both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3420"/>
        </w:tabs>
        <w:ind w:left="-570" w:right="-113" w:firstLine="57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Доброю традицією нашого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ЗВО</w:t>
      </w:r>
      <w:r w:rsidDel="00000000" w:rsidR="00000000" w:rsidRPr="00000000">
        <w:rPr>
          <w:rFonts w:ascii="Arial" w:cs="Arial" w:eastAsia="Arial" w:hAnsi="Arial"/>
          <w:rtl w:val="0"/>
        </w:rPr>
        <w:t xml:space="preserve"> є допомога студентам у працевлаштуванні, консультуванні їх з питань цивілізованого регулювання взаємовідносин на ринку праці, підтримка постійних зв’язків з випускниками минулих років. Саме вирішенням цих питань і займається наш Центр розвитку кар’єри, який пропонує Вам:</w:t>
      </w:r>
    </w:p>
    <w:p w:rsidR="00000000" w:rsidDel="00000000" w:rsidP="00000000" w:rsidRDefault="00000000" w:rsidRPr="00000000" w14:paraId="0000000D">
      <w:pPr>
        <w:tabs>
          <w:tab w:val="left" w:leader="none" w:pos="3420"/>
        </w:tabs>
        <w:ind w:left="-283.46456692913375" w:right="-113" w:hanging="283.46456692913375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leader="none" w:pos="3420"/>
        </w:tabs>
        <w:ind w:left="-283.46456692913375" w:right="-113" w:hanging="283.46456692913375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скористатися численною картотекою кандидатів на працевлаштування;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3420"/>
        </w:tabs>
        <w:ind w:left="-283.46456692913375" w:right="-113" w:hanging="283.46456692913375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організувати співбесіди з кандидатами щодо Ваших запитів;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3420"/>
        </w:tabs>
        <w:ind w:left="-283.46456692913375" w:right="-113" w:hanging="283.46456692913375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цільовий пошук вищого управлінського персоналу;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tabs>
          <w:tab w:val="left" w:leader="none" w:pos="3420"/>
        </w:tabs>
        <w:ind w:left="-283.46456692913375" w:right="-113" w:hanging="283.46456692913375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участь у «Ярмарках вакансій», організацію презентацій, майстер-класів тощо.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420"/>
        </w:tabs>
        <w:ind w:left="-283.46456692913375" w:right="-355" w:hanging="283.46456692913375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420"/>
        </w:tabs>
        <w:ind w:left="-283.46456692913375" w:right="-113" w:hanging="283.46456692913375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3420"/>
        </w:tabs>
        <w:ind w:left="-283.46456692913375" w:right="-113" w:hanging="283.46456692913375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Центр добирає персонал:</w:t>
      </w:r>
    </w:p>
    <w:p w:rsidR="00000000" w:rsidDel="00000000" w:rsidP="00000000" w:rsidRDefault="00000000" w:rsidRPr="00000000" w14:paraId="00000015">
      <w:pPr>
        <w:tabs>
          <w:tab w:val="left" w:leader="none" w:pos="3420"/>
        </w:tabs>
        <w:ind w:left="-283.46456692913375" w:right="-113" w:hanging="283.46456692913375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tabs>
          <w:tab w:val="left" w:leader="none" w:pos="993"/>
        </w:tabs>
        <w:ind w:left="-283.46456692913375" w:right="-113" w:hanging="283.46456692913375"/>
        <w:jc w:val="both"/>
        <w:rPr>
          <w:b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за професіями та посадами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— </w:t>
      </w:r>
      <w:r w:rsidDel="00000000" w:rsidR="00000000" w:rsidRPr="00000000">
        <w:rPr>
          <w:rFonts w:ascii="Arial" w:cs="Arial" w:eastAsia="Arial" w:hAnsi="Arial"/>
          <w:rtl w:val="0"/>
        </w:rPr>
        <w:t xml:space="preserve">вищий та середній керівний склад, юристи, економісти-міжнародники, спеціалісти з інформаційних технологій, фінансисти, бухгалтери, маркетологи, фахівці зі збуту та закупівель, менеджери з персоналу, секретарі, помічники керівника, офіс-менеджери, агенти, волонтери, фінансові аналітики, супервайзери, маркетологи, аудитори, перекладачі, копірайтери тощо;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tabs>
          <w:tab w:val="left" w:leader="none" w:pos="3420"/>
        </w:tabs>
        <w:ind w:left="-283.46456692913375" w:right="-113" w:hanging="283.46456692913375"/>
        <w:jc w:val="both"/>
        <w:rPr>
          <w:b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за сферами діяльності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— </w:t>
      </w:r>
      <w:r w:rsidDel="00000000" w:rsidR="00000000" w:rsidRPr="00000000">
        <w:rPr>
          <w:rFonts w:ascii="Arial" w:cs="Arial" w:eastAsia="Arial" w:hAnsi="Arial"/>
          <w:rtl w:val="0"/>
        </w:rPr>
        <w:t xml:space="preserve">виробництво, фінанси та інвестиції, банківська справа, страхування, торгівля, видавнича справа і поліграфія, юриспруденція тощо.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3420"/>
        </w:tabs>
        <w:ind w:right="-113"/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✔"/>
      <w:lvlJc w:val="left"/>
      <w:pPr>
        <w:ind w:left="107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shd w:fill="ffffff" w:val="clear"/>
      <w:ind w:left="917"/>
      <w:jc w:val="center"/>
    </w:pPr>
    <w:rPr>
      <w:b w:val="1"/>
      <w:color w:val="000000"/>
      <w:sz w:val="29"/>
      <w:szCs w:val="2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JBffX9ErEHoliXE8KCTvmhxj3Q==">CgMxLjA4AHIhMV95cVBrMTNFYmZxTm1PMERpSVdEV19xcXU1YU80X0JD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